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49" w:rsidRPr="00DF7DBA" w:rsidRDefault="007D4B49" w:rsidP="00CE440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DF7DBA">
        <w:rPr>
          <w:rFonts w:ascii="ＭＳ ゴシック" w:eastAsia="ＭＳ ゴシック" w:hAnsi="ＭＳ ゴシック" w:hint="eastAsia"/>
          <w:sz w:val="22"/>
          <w:szCs w:val="22"/>
        </w:rPr>
        <w:t>様式第６号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007F4A" w:rsidRPr="00627B5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627B5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4402" w:rsidRPr="00DF7DBA" w:rsidRDefault="00CE4402" w:rsidP="00CE4402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>取得財産等管理台帳</w:t>
      </w:r>
    </w:p>
    <w:tbl>
      <w:tblPr>
        <w:tblpPr w:leftFromText="142" w:rightFromText="142" w:vertAnchor="text" w:horzAnchor="margin" w:tblpY="11"/>
        <w:tblW w:w="94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7"/>
        <w:gridCol w:w="709"/>
        <w:gridCol w:w="709"/>
        <w:gridCol w:w="850"/>
        <w:gridCol w:w="992"/>
        <w:gridCol w:w="851"/>
        <w:gridCol w:w="992"/>
        <w:gridCol w:w="1134"/>
        <w:gridCol w:w="709"/>
        <w:gridCol w:w="775"/>
      </w:tblGrid>
      <w:tr w:rsidR="00506E24" w:rsidRPr="00DF7DBA" w:rsidTr="00506E24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6E24" w:rsidRPr="00506E24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</w:pPr>
            <w:r w:rsidRPr="00506E2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保管場所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補助率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506E24" w:rsidRPr="00DF7DBA" w:rsidTr="00506E24">
        <w:tblPrEx>
          <w:tblCellMar>
            <w:top w:w="0" w:type="dxa"/>
            <w:bottom w:w="0" w:type="dxa"/>
          </w:tblCellMar>
        </w:tblPrEx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CE4402" w:rsidRPr="00DF7DBA" w:rsidRDefault="00CE4402" w:rsidP="00CE4402">
      <w:pPr>
        <w:pStyle w:val="a3"/>
        <w:spacing w:line="10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4402" w:rsidRPr="00DF7DBA" w:rsidRDefault="00CE4402" w:rsidP="00CE4402">
      <w:pPr>
        <w:pStyle w:val="a3"/>
        <w:spacing w:line="221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4402" w:rsidRPr="00DF7DBA" w:rsidRDefault="00CE4402" w:rsidP="00007F4A">
      <w:pPr>
        <w:pStyle w:val="a3"/>
        <w:ind w:left="896" w:hangingChars="400" w:hanging="896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（注）１．対象となる取得財産等は、補助金等に係る予算の執行の適正化に関する法律施行令（昭和３０年政令第２５５号）第１３条第１号から</w:t>
      </w:r>
      <w:r w:rsidR="005C25AF" w:rsidRPr="00DF7DBA">
        <w:rPr>
          <w:rFonts w:ascii="ＭＳ ゴシック" w:eastAsia="ＭＳ ゴシック" w:hAnsi="ＭＳ ゴシック" w:hint="eastAsia"/>
          <w:sz w:val="22"/>
          <w:szCs w:val="22"/>
        </w:rPr>
        <w:t>第３号に定める財産、取得価格又は効用の増加価格が本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実施要領第</w:t>
      </w:r>
      <w:r w:rsidR="007D4B49" w:rsidRPr="00627B5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627B50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627B50">
        <w:rPr>
          <w:rFonts w:ascii="ＭＳ ゴシック" w:eastAsia="ＭＳ ゴシック" w:hAnsi="ＭＳ ゴシック" w:hint="eastAsia"/>
          <w:sz w:val="22"/>
          <w:szCs w:val="22"/>
        </w:rPr>
        <w:t>条第１項に定める処分制限額以上の財産とする。</w:t>
      </w:r>
    </w:p>
    <w:p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３．数量は、同一規格等であれば一括して記載して差し支えない。単価が異なる場合は分割して記載すること。</w:t>
      </w:r>
    </w:p>
    <w:p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12" w:rsidRDefault="00982D12" w:rsidP="00C77227">
      <w:r>
        <w:separator/>
      </w:r>
    </w:p>
  </w:endnote>
  <w:endnote w:type="continuationSeparator" w:id="0">
    <w:p w:rsidR="00982D12" w:rsidRDefault="00982D1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12" w:rsidRDefault="00982D12" w:rsidP="00C77227">
      <w:r>
        <w:separator/>
      </w:r>
    </w:p>
  </w:footnote>
  <w:footnote w:type="continuationSeparator" w:id="0">
    <w:p w:rsidR="00982D12" w:rsidRDefault="00982D1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6E24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27B50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2D12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16820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00F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8239AD6-DAF1-4513-A0AC-8F45EF1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91A-ADCE-4042-9857-CF9AF47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田中　和典</cp:lastModifiedBy>
  <cp:revision>2</cp:revision>
  <cp:lastPrinted>2021-03-04T10:25:00Z</cp:lastPrinted>
  <dcterms:created xsi:type="dcterms:W3CDTF">2022-04-11T08:21:00Z</dcterms:created>
  <dcterms:modified xsi:type="dcterms:W3CDTF">2022-04-11T08:21:00Z</dcterms:modified>
</cp:coreProperties>
</file>